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Екатеринбург, ул. Артинская, 22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(343) 363-02-31, </w:t>
      </w:r>
      <w:r>
        <w:fldChar w:fldCharType="begin"/>
      </w:r>
      <w:r>
        <w:instrText xml:space="preserve"> HYPERLINK "mailto:ekb@russcvet.ru"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ekb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Екатеринбург.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4D0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5EC7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587F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4F9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1F9A03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qFormat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1422</Words>
  <Characters>8108</Characters>
  <Lines>67</Lines>
  <Paragraphs>19</Paragraphs>
  <TotalTime>2331</TotalTime>
  <ScaleCrop>false</ScaleCrop>
  <LinksUpToDate>false</LinksUpToDate>
  <CharactersWithSpaces>9511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2018-11-22T11:25:00Z</dcterms:created>
  <dc:creator>Анатолий</dc:creator>
  <cp:lastModifiedBy>asus</cp:lastModifiedBy>
  <cp:lastPrinted>2022-06-21T05:20:00Z</cp:lastPrinted>
  <dcterms:modified xsi:type="dcterms:W3CDTF">2023-05-25T10:45:43Z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36CA9BF92AA04BA593D8F6E706EA415F</vt:lpwstr>
  </property>
</Properties>
</file>